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Arial Narrow" w:cs="Arial Narrow" w:eastAsia="Arial Narrow" w:hAnsi="Arial Narrow"/>
          <w:b w:val="1"/>
          <w:color w:val="595959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color w:val="595959"/>
          <w:sz w:val="30"/>
          <w:szCs w:val="30"/>
          <w:rtl w:val="0"/>
        </w:rPr>
        <w:t xml:space="preserve">COVID-19: CAF apoya a México con donación de equipos para pruebas PCR</w:t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El banco de desarrollo de América Latina se suma al “Plan Nacional de Apoyo al Sistema de Salud en la Atención a la Pandemia por COVID-19” con recursos no reembolsables que serán ejecutados por el Programa de Naciones Unidas para el Desarrollo (PNUD).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rtl w:val="0"/>
        </w:rPr>
        <w:t xml:space="preserve">(Ciudad de México, 22 de</w:t>
      </w: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rtl w:val="0"/>
        </w:rPr>
        <w:t xml:space="preserve"> septiembre de 2020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rtl w:val="0"/>
        </w:rPr>
        <w:t xml:space="preserve">). 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Con el propósito de apoyar la respuesta del Sistema de Salud de los Estados Unidos Mexicanos ante la pandemia,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CAF –banco de desarrollo de América Latina-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 realizó la donación de MXN 8.4 millones que se destinarán para la compra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equipos de extracción nucleica para la detección del COVID-19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 en pruebas PCR y los insumos correspondientes para los mismos.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La Comisión Federal para la Protección contra Riesgos Sanitarios (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COFEPRIS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) será la receptora de estos equipos e insumos gracias a la administración y ejecución de los recursos no reembolsables de CAF que realizará el Programa de Naciones Unidas para el Desarrollo (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PNUD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), por encargo de la Subsecretaría para Asuntos Multilaterales y Derechos Humanos de la Secretaría de Relaciones exteriores.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“Desde hace 30 años somos un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socio incondicional de los mexicanos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 y ante la emergencia sanitaria hemos aprovechado el conocimiento y la experiencia del PNUD con el propósito de salvar vidas y promover el bienestar de la población. América Latina cuenta con el apoyo financiero, la asistencia técnica y la generación de conocimiento que promovemos desde CAF”, aseguró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Luis Carranza Ugarte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presidente ejecutivo de la institución.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CAF, a través del programa de apoyo a sus 19 países accionistas ante la emergencia generada por el COVID-19, ha otorgado recursos no reembolsables por hasta USD 5 millones, ha puesto a disposición cerca de USD 3.000 millones en créditos para fortalecer los sistemas de salud y acompañar los planes de reactivación económica y social que están liderando las autoridades y prevé cerrar el año con una aprobación récord de USD 16.000 millones. </w:t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Por otra parte, la multilateral ha puesto a disposición de los países miembros, mecanismos de capacitación virtual y se encuentra abocada a la generación de conocimiento, elementos fundamentales para que los países puedan diseñar sus estrategias de recuperación económica manteniendo los logros sociales alcanzados en las últimas décadas. 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El talento humano de CAF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 junto con expertos en sectores estratégicos como salud, educación, economía, transporte, protección social, tecnología y gobernabilidad, trabajan en propuestas de 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políticas públicas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 que puedan ser adaptables a la realidad de cada país, las cuales están 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0563c1"/>
            <w:u w:val="single"/>
            <w:rtl w:val="0"/>
          </w:rPr>
          <w:t xml:space="preserve">disponibles aquí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 </w:t>
      </w:r>
      <w:hyperlink r:id="rId7">
        <w:r w:rsidDel="00000000" w:rsidR="00000000" w:rsidRPr="00000000">
          <w:rPr>
            <w:rFonts w:ascii="Arial Narrow" w:cs="Arial Narrow" w:eastAsia="Arial Narrow" w:hAnsi="Arial Narrow"/>
            <w:sz w:val="18"/>
            <w:szCs w:val="18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42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5657850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CAF, Dirección de Comunicación Estratégica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Facebook: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/ Twitter: @AgendaCAF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23339</wp:posOffset>
          </wp:positionV>
          <wp:extent cx="2105025" cy="657225"/>
          <wp:effectExtent b="0" l="0" r="0" t="0"/>
          <wp:wrapTopAndBottom distB="0" distT="0"/>
          <wp:docPr descr="Logo_CAF50_Aniversario" id="2" name="image1.png"/>
          <a:graphic>
            <a:graphicData uri="http://schemas.openxmlformats.org/drawingml/2006/picture">
              <pic:pic>
                <pic:nvPicPr>
                  <pic:cNvPr descr="Logo_CAF50_Aniversar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facebook.com/CAF.America.Latin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f.com/es/temas/c/covid19/" TargetMode="External"/><Relationship Id="rId7" Type="http://schemas.openxmlformats.org/officeDocument/2006/relationships/hyperlink" Target="http://www.caf.com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